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04"/>
        <w:gridCol w:w="3609"/>
        <w:gridCol w:w="987"/>
        <w:gridCol w:w="1714"/>
        <w:gridCol w:w="1038"/>
        <w:gridCol w:w="3456"/>
        <w:gridCol w:w="1212"/>
      </w:tblGrid>
      <w:tr w14:paraId="76A1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13320" w:type="dxa"/>
            <w:gridSpan w:val="7"/>
            <w:tcBorders>
              <w:top w:val="nil"/>
              <w:left w:val="nil"/>
              <w:bottom w:val="nil"/>
              <w:right w:val="nil"/>
            </w:tcBorders>
            <w:shd w:val="clear" w:color="auto" w:fill="auto"/>
            <w:tcMar>
              <w:top w:w="12" w:type="dxa"/>
              <w:left w:w="12" w:type="dxa"/>
              <w:right w:w="12" w:type="dxa"/>
            </w:tcMar>
            <w:vAlign w:val="center"/>
          </w:tcPr>
          <w:p w14:paraId="5A9AF372">
            <w:pPr>
              <w:keepNext w:val="0"/>
              <w:keepLines w:val="0"/>
              <w:widowControl/>
              <w:suppressLineNumbers w:val="0"/>
              <w:jc w:val="left"/>
              <w:textAlignment w:val="center"/>
              <w:rPr>
                <w:rFonts w:hint="default" w:ascii="Times New Roman" w:hAnsi="Times New Roman" w:eastAsia="方正小标宋_GBK" w:cs="Times New Roman"/>
                <w:b w:val="0"/>
                <w:bCs/>
                <w:i w:val="0"/>
                <w:color w:val="000000"/>
                <w:kern w:val="0"/>
                <w:sz w:val="36"/>
                <w:szCs w:val="36"/>
                <w:u w:val="none"/>
                <w:lang w:val="en-US" w:eastAsia="zh-CN" w:bidi="ar"/>
              </w:rPr>
            </w:pPr>
            <w:r>
              <w:rPr>
                <w:rFonts w:hint="default" w:ascii="Times New Roman" w:hAnsi="Times New Roman" w:eastAsia="方正黑体_GBK" w:cs="Times New Roman"/>
                <w:b w:val="0"/>
                <w:bCs/>
                <w:i w:val="0"/>
                <w:color w:val="000000"/>
                <w:kern w:val="0"/>
                <w:sz w:val="32"/>
                <w:szCs w:val="32"/>
                <w:u w:val="none"/>
                <w:lang w:val="en-US" w:eastAsia="zh-CN" w:bidi="ar"/>
              </w:rPr>
              <w:t>附件1</w:t>
            </w:r>
            <w:r>
              <w:rPr>
                <w:rFonts w:hint="eastAsia" w:ascii="Times New Roman" w:hAnsi="Times New Roman" w:eastAsia="方正黑体_GBK" w:cs="Times New Roman"/>
                <w:b w:val="0"/>
                <w:bCs/>
                <w:i w:val="0"/>
                <w:color w:val="000000"/>
                <w:kern w:val="0"/>
                <w:sz w:val="32"/>
                <w:szCs w:val="32"/>
                <w:u w:val="none"/>
                <w:lang w:val="en-US" w:eastAsia="zh-CN" w:bidi="ar"/>
              </w:rPr>
              <w:t>：</w:t>
            </w:r>
            <w:r>
              <w:rPr>
                <w:rFonts w:hint="default" w:ascii="Times New Roman" w:hAnsi="Times New Roman" w:eastAsia="方正小标宋_GBK" w:cs="Times New Roman"/>
                <w:b w:val="0"/>
                <w:bCs/>
                <w:i w:val="0"/>
                <w:color w:val="000000"/>
                <w:kern w:val="0"/>
                <w:sz w:val="36"/>
                <w:szCs w:val="36"/>
                <w:u w:val="none"/>
                <w:lang w:val="en-US" w:eastAsia="zh-CN" w:bidi="ar"/>
              </w:rPr>
              <w:t xml:space="preserve">           </w:t>
            </w:r>
          </w:p>
          <w:p w14:paraId="37C39CFD">
            <w:pPr>
              <w:keepNext w:val="0"/>
              <w:keepLines w:val="0"/>
              <w:widowControl/>
              <w:suppressLineNumbers w:val="0"/>
              <w:jc w:val="center"/>
              <w:textAlignment w:val="center"/>
              <w:rPr>
                <w:rFonts w:hint="default" w:ascii="Times New Roman" w:hAnsi="Times New Roman" w:eastAsia="宋体" w:cs="Times New Roman"/>
                <w:b/>
                <w:i w:val="0"/>
                <w:color w:val="000000"/>
                <w:sz w:val="36"/>
                <w:szCs w:val="36"/>
                <w:u w:val="none"/>
              </w:rPr>
            </w:pPr>
            <w:r>
              <w:rPr>
                <w:rFonts w:hint="eastAsia" w:ascii="Times New Roman" w:hAnsi="Times New Roman" w:eastAsia="方正小标宋_GBK" w:cs="Times New Roman"/>
                <w:b w:val="0"/>
                <w:bCs/>
                <w:i w:val="0"/>
                <w:color w:val="000000"/>
                <w:kern w:val="0"/>
                <w:sz w:val="36"/>
                <w:szCs w:val="36"/>
                <w:u w:val="none"/>
                <w:lang w:val="en-US" w:eastAsia="zh-CN" w:bidi="ar"/>
              </w:rPr>
              <w:t>天津市西青区消防救援支队</w:t>
            </w:r>
            <w:r>
              <w:rPr>
                <w:rFonts w:hint="default" w:ascii="Times New Roman" w:hAnsi="Times New Roman" w:eastAsia="方正小标宋_GBK" w:cs="Times New Roman"/>
                <w:b w:val="0"/>
                <w:bCs/>
                <w:i w:val="0"/>
                <w:color w:val="000000"/>
                <w:kern w:val="0"/>
                <w:sz w:val="36"/>
                <w:szCs w:val="36"/>
                <w:u w:val="none"/>
                <w:lang w:eastAsia="zh-CN" w:bidi="ar"/>
              </w:rPr>
              <w:t>政府</w:t>
            </w:r>
            <w:r>
              <w:rPr>
                <w:rFonts w:hint="default" w:ascii="Times New Roman" w:hAnsi="Times New Roman" w:eastAsia="方正小标宋_GBK" w:cs="Times New Roman"/>
                <w:b w:val="0"/>
                <w:bCs/>
                <w:i w:val="0"/>
                <w:color w:val="000000"/>
                <w:kern w:val="0"/>
                <w:sz w:val="36"/>
                <w:szCs w:val="36"/>
                <w:u w:val="none"/>
                <w:lang w:val="en-US" w:eastAsia="zh-CN" w:bidi="ar"/>
              </w:rPr>
              <w:t>专职消防员招录计划表</w:t>
            </w:r>
          </w:p>
        </w:tc>
      </w:tr>
      <w:tr w14:paraId="4741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shd w:val="clear" w:color="auto" w:fill="auto"/>
            <w:tcMar>
              <w:top w:w="12" w:type="dxa"/>
              <w:left w:w="12" w:type="dxa"/>
              <w:right w:w="12" w:type="dxa"/>
            </w:tcMar>
            <w:vAlign w:val="center"/>
          </w:tcPr>
          <w:p w14:paraId="17748E3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方正楷体_GBK" w:cs="Times New Roman"/>
                <w:i w:val="0"/>
                <w:color w:val="000000"/>
                <w:kern w:val="0"/>
                <w:sz w:val="21"/>
                <w:szCs w:val="21"/>
                <w:u w:val="none"/>
                <w:lang w:val="en-US" w:eastAsia="zh-CN" w:bidi="ar"/>
              </w:rPr>
              <w:t>单位：</w:t>
            </w:r>
            <w:r>
              <w:rPr>
                <w:rFonts w:hint="eastAsia" w:ascii="Times New Roman" w:hAnsi="Times New Roman" w:eastAsia="方正楷体_GBK" w:cs="Times New Roman"/>
                <w:i w:val="0"/>
                <w:color w:val="000000"/>
                <w:kern w:val="0"/>
                <w:sz w:val="21"/>
                <w:szCs w:val="21"/>
                <w:u w:val="none"/>
                <w:lang w:val="en-US" w:eastAsia="zh-CN" w:bidi="ar"/>
              </w:rPr>
              <w:t>天津市西青区消防救援支队</w:t>
            </w:r>
          </w:p>
        </w:tc>
        <w:tc>
          <w:tcPr>
            <w:tcW w:w="1714" w:type="dxa"/>
            <w:tcBorders>
              <w:top w:val="nil"/>
              <w:left w:val="nil"/>
              <w:bottom w:val="single" w:color="000000" w:sz="4" w:space="0"/>
              <w:right w:val="nil"/>
            </w:tcBorders>
            <w:shd w:val="clear" w:color="auto" w:fill="auto"/>
            <w:tcMar>
              <w:top w:w="12" w:type="dxa"/>
              <w:left w:w="12" w:type="dxa"/>
              <w:right w:w="12" w:type="dxa"/>
            </w:tcMar>
            <w:vAlign w:val="center"/>
          </w:tcPr>
          <w:p w14:paraId="110ECAEF">
            <w:pPr>
              <w:jc w:val="center"/>
              <w:rPr>
                <w:rFonts w:hint="default" w:ascii="Times New Roman" w:hAnsi="Times New Roman" w:eastAsia="宋体" w:cs="Times New Roman"/>
                <w:b/>
                <w:i w:val="0"/>
                <w:color w:val="000000"/>
                <w:sz w:val="21"/>
                <w:szCs w:val="21"/>
                <w:u w:val="none"/>
              </w:rPr>
            </w:pPr>
          </w:p>
        </w:tc>
        <w:tc>
          <w:tcPr>
            <w:tcW w:w="1038" w:type="dxa"/>
            <w:tcBorders>
              <w:top w:val="nil"/>
              <w:left w:val="nil"/>
              <w:bottom w:val="single" w:color="000000" w:sz="4" w:space="0"/>
              <w:right w:val="nil"/>
            </w:tcBorders>
            <w:shd w:val="clear" w:color="auto" w:fill="auto"/>
            <w:tcMar>
              <w:top w:w="12" w:type="dxa"/>
              <w:left w:w="12" w:type="dxa"/>
              <w:right w:w="12" w:type="dxa"/>
            </w:tcMar>
            <w:vAlign w:val="center"/>
          </w:tcPr>
          <w:p w14:paraId="5973EC3B">
            <w:pPr>
              <w:jc w:val="center"/>
              <w:rPr>
                <w:rFonts w:hint="default" w:ascii="Times New Roman" w:hAnsi="Times New Roman" w:eastAsia="宋体" w:cs="Times New Roman"/>
                <w:b/>
                <w:i w:val="0"/>
                <w:color w:val="000000"/>
                <w:sz w:val="21"/>
                <w:szCs w:val="21"/>
                <w:u w:val="none"/>
              </w:rPr>
            </w:pPr>
          </w:p>
        </w:tc>
        <w:tc>
          <w:tcPr>
            <w:tcW w:w="3456" w:type="dxa"/>
            <w:tcBorders>
              <w:top w:val="nil"/>
              <w:left w:val="nil"/>
              <w:bottom w:val="single" w:color="000000" w:sz="4" w:space="0"/>
              <w:right w:val="nil"/>
            </w:tcBorders>
            <w:shd w:val="clear" w:color="auto" w:fill="auto"/>
            <w:tcMar>
              <w:top w:w="12" w:type="dxa"/>
              <w:left w:w="12" w:type="dxa"/>
              <w:right w:w="12" w:type="dxa"/>
            </w:tcMar>
            <w:vAlign w:val="center"/>
          </w:tcPr>
          <w:p w14:paraId="097EB27F">
            <w:pPr>
              <w:jc w:val="center"/>
              <w:rPr>
                <w:rFonts w:hint="default" w:ascii="Times New Roman" w:hAnsi="Times New Roman" w:eastAsia="宋体" w:cs="Times New Roman"/>
                <w:b/>
                <w:i w:val="0"/>
                <w:color w:val="000000"/>
                <w:sz w:val="21"/>
                <w:szCs w:val="21"/>
                <w:u w:val="none"/>
              </w:rPr>
            </w:pPr>
          </w:p>
        </w:tc>
        <w:tc>
          <w:tcPr>
            <w:tcW w:w="1212" w:type="dxa"/>
            <w:tcBorders>
              <w:top w:val="nil"/>
              <w:left w:val="nil"/>
              <w:bottom w:val="single" w:color="000000" w:sz="4" w:space="0"/>
              <w:right w:val="nil"/>
            </w:tcBorders>
            <w:shd w:val="clear" w:color="auto" w:fill="auto"/>
            <w:tcMar>
              <w:top w:w="12" w:type="dxa"/>
              <w:left w:w="12" w:type="dxa"/>
              <w:right w:w="12" w:type="dxa"/>
            </w:tcMar>
            <w:vAlign w:val="center"/>
          </w:tcPr>
          <w:p w14:paraId="24664439">
            <w:pPr>
              <w:jc w:val="center"/>
              <w:rPr>
                <w:rFonts w:hint="default" w:ascii="Times New Roman" w:hAnsi="Times New Roman" w:eastAsia="宋体" w:cs="Times New Roman"/>
                <w:b/>
                <w:i w:val="0"/>
                <w:color w:val="000000"/>
                <w:sz w:val="21"/>
                <w:szCs w:val="21"/>
                <w:u w:val="none"/>
              </w:rPr>
            </w:pPr>
          </w:p>
        </w:tc>
      </w:tr>
      <w:tr w14:paraId="48A5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3712B">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1A183">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招录人数</w:t>
            </w:r>
          </w:p>
        </w:tc>
        <w:tc>
          <w:tcPr>
            <w:tcW w:w="62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DC7E2">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招录条件</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C6C4E">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咨询电话</w:t>
            </w:r>
          </w:p>
        </w:tc>
      </w:tr>
      <w:tr w14:paraId="7F59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53750">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岗位</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2597D">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简介</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9FF3A">
            <w:pPr>
              <w:jc w:val="center"/>
              <w:rPr>
                <w:rFonts w:hint="default" w:ascii="Times New Roman" w:hAnsi="Times New Roman" w:eastAsia="宋体" w:cs="Times New Roman"/>
                <w:b/>
                <w:i w:val="0"/>
                <w:color w:val="000000"/>
                <w:sz w:val="21"/>
                <w:szCs w:val="21"/>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61B3A">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专业</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ACD19">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学历</w:t>
            </w:r>
          </w:p>
        </w:tc>
        <w:tc>
          <w:tcPr>
            <w:tcW w:w="3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2F9EC">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其他</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F9350">
            <w:pPr>
              <w:jc w:val="center"/>
              <w:rPr>
                <w:rFonts w:hint="default" w:ascii="Times New Roman" w:hAnsi="Times New Roman" w:eastAsia="宋体" w:cs="Times New Roman"/>
                <w:b/>
                <w:i w:val="0"/>
                <w:color w:val="000000"/>
                <w:sz w:val="21"/>
                <w:szCs w:val="21"/>
                <w:u w:val="none"/>
              </w:rPr>
            </w:pPr>
          </w:p>
        </w:tc>
      </w:tr>
      <w:tr w14:paraId="6ABF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3"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D76D7">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灭火救援员</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2F42F">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（一）了解辖区交通道路、消防水源、重点单位等基本情况；</w:t>
            </w:r>
          </w:p>
          <w:p w14:paraId="711C9611">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（二）保持个人防护装备和分管装备完整好用，熟悉装备性能，熟练操作使用；</w:t>
            </w:r>
          </w:p>
          <w:p w14:paraId="450872DE">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（三）掌握辖区主要灾害事故处置的行动要求、安全注意事项，熟悉灭火救援预案中本岗位的主要任务；</w:t>
            </w:r>
          </w:p>
          <w:p w14:paraId="1AA52959">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（四）掌握相关建筑消防设施的实战应用方法；</w:t>
            </w:r>
          </w:p>
          <w:p w14:paraId="377BDB0B">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（五）积极参加教育、学习、训练活动，具备应有的火灾扑救和应急救援业务技能，入职培训后取得相应等级的消防员职业技能鉴定资格证书；</w:t>
            </w:r>
          </w:p>
          <w:p w14:paraId="4492195F">
            <w:pPr>
              <w:keepNext w:val="0"/>
              <w:keepLines w:val="0"/>
              <w:widowControl/>
              <w:suppressLineNumbers w:val="0"/>
              <w:jc w:val="left"/>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（六）严格执行值班备勤制度和执勤战斗条令，在做好安全防护的前提下，完成上级赋予的作战任务。</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50BB0">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lang w:val="en-US" w:eastAsia="zh-CN"/>
              </w:rPr>
            </w:pPr>
            <w:r>
              <w:rPr>
                <w:rFonts w:hint="eastAsia" w:ascii="Times New Roman" w:hAnsi="Times New Roman" w:eastAsia="方正仿宋_GBK" w:cs="Times New Roman"/>
                <w:b w:val="0"/>
                <w:bCs w:val="0"/>
                <w:i w:val="0"/>
                <w:color w:val="000000"/>
                <w:sz w:val="21"/>
                <w:szCs w:val="21"/>
                <w:u w:val="none"/>
                <w:lang w:val="en-US" w:eastAsia="zh-CN"/>
              </w:rPr>
              <w:t>38</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42C86E">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9B59CA">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lang w:val="en-US"/>
              </w:rPr>
            </w:pPr>
            <w:r>
              <w:rPr>
                <w:rFonts w:hint="default" w:ascii="Times New Roman" w:hAnsi="Times New Roman" w:eastAsia="方正仿宋_GBK" w:cs="Times New Roman"/>
                <w:b w:val="0"/>
                <w:bCs w:val="0"/>
                <w:i w:val="0"/>
                <w:color w:val="000000"/>
                <w:kern w:val="0"/>
                <w:sz w:val="21"/>
                <w:szCs w:val="21"/>
                <w:u w:val="none"/>
                <w:lang w:val="en-US" w:eastAsia="zh-CN" w:bidi="ar"/>
              </w:rPr>
              <w:t>高中及以上学历</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84721A">
            <w:pPr>
              <w:keepNext w:val="0"/>
              <w:keepLines w:val="0"/>
              <w:widowControl/>
              <w:suppressLineNumbers w:val="0"/>
              <w:jc w:val="both"/>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sz w:val="21"/>
                <w:szCs w:val="21"/>
                <w:u w:val="none"/>
              </w:rPr>
              <w:t>建议</w:t>
            </w:r>
            <w:r>
              <w:rPr>
                <w:rFonts w:hint="eastAsia" w:ascii="Times New Roman" w:hAnsi="Times New Roman" w:eastAsia="方正仿宋_GBK" w:cs="Times New Roman"/>
                <w:b w:val="0"/>
                <w:bCs w:val="0"/>
                <w:i w:val="0"/>
                <w:color w:val="000000"/>
                <w:sz w:val="21"/>
                <w:szCs w:val="21"/>
                <w:u w:val="none"/>
                <w:lang w:val="en-US" w:eastAsia="zh-CN"/>
              </w:rPr>
              <w:t>为</w:t>
            </w:r>
            <w:r>
              <w:rPr>
                <w:rFonts w:hint="default" w:ascii="Times New Roman" w:hAnsi="Times New Roman" w:eastAsia="方正仿宋_GBK" w:cs="Times New Roman"/>
                <w:b w:val="0"/>
                <w:bCs w:val="0"/>
                <w:i w:val="0"/>
                <w:color w:val="000000"/>
                <w:sz w:val="21"/>
                <w:szCs w:val="21"/>
                <w:u w:val="none"/>
              </w:rPr>
              <w:t>男性，年龄为18至30周岁之间</w:t>
            </w:r>
            <w:r>
              <w:rPr>
                <w:rFonts w:hint="eastAsia" w:ascii="Times New Roman" w:hAnsi="Times New Roman" w:eastAsia="方正仿宋_GBK" w:cs="Times New Roman"/>
                <w:b w:val="0"/>
                <w:bCs w:val="0"/>
                <w:i w:val="0"/>
                <w:color w:val="000000"/>
                <w:sz w:val="21"/>
                <w:szCs w:val="21"/>
                <w:u w:val="none"/>
                <w:lang w:eastAsia="zh-CN"/>
              </w:rPr>
              <w:t>，工作期满退出国家综合性消防救援队伍的消防员和有政府专职消防队伍工作经历的政府专职消防员（不含辞退、开除）、中国共产党党员、解放军和武警部队退役军人及其他符合优先条件者同等条件下优先招录。</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D2BE1">
            <w:pPr>
              <w:jc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方正仿宋_GBK" w:cs="Times New Roman"/>
                <w:i w:val="0"/>
                <w:color w:val="000000"/>
                <w:sz w:val="18"/>
                <w:szCs w:val="18"/>
                <w:u w:val="none"/>
                <w:lang w:val="en-US" w:eastAsia="zh-CN"/>
              </w:rPr>
              <w:t>022-</w:t>
            </w:r>
            <w:r>
              <w:rPr>
                <w:rFonts w:hint="eastAsia" w:ascii="Times New Roman" w:hAnsi="Times New Roman" w:eastAsia="方正仿宋_GBK" w:cs="Times New Roman"/>
                <w:i w:val="0"/>
                <w:color w:val="000000"/>
                <w:sz w:val="18"/>
                <w:szCs w:val="18"/>
                <w:u w:val="none"/>
                <w:lang w:val="en-US" w:eastAsia="zh-CN"/>
              </w:rPr>
              <w:t>27925992-8203</w:t>
            </w:r>
          </w:p>
        </w:tc>
      </w:tr>
    </w:tbl>
    <w:p w14:paraId="03D95C0E">
      <w:pPr>
        <w:wordWrap w:val="0"/>
        <w:spacing w:line="560" w:lineRule="exact"/>
        <w:jc w:val="both"/>
        <w:rPr>
          <w:rFonts w:hint="eastAsia" w:asciiTheme="minorEastAsia" w:hAnsiTheme="minorEastAsia" w:eastAsiaTheme="minorEastAsia" w:cstheme="minorEastAsia"/>
          <w:color w:val="000000" w:themeColor="text1"/>
          <w:sz w:val="32"/>
          <w:szCs w:val="32"/>
          <w:shd w:val="clear" w:color="auto" w:fill="auto"/>
          <w:lang w:val="en-US" w:eastAsia="zh-CN"/>
          <w14:textFill>
            <w14:solidFill>
              <w14:schemeClr w14:val="tx1"/>
            </w14:solidFill>
          </w14:textFill>
        </w:rPr>
        <w:sectPr>
          <w:footerReference r:id="rId3"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pPr>
    </w:p>
    <w:p w14:paraId="2D7D8F23">
      <w:pPr>
        <w:wordWrap w:val="0"/>
        <w:spacing w:line="560" w:lineRule="exact"/>
        <w:jc w:val="both"/>
        <w:rPr>
          <w:rFonts w:hint="eastAsia"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pPr>
    </w:p>
    <w:p w14:paraId="3D16EC0E">
      <w:pPr>
        <w:adjustRightInd w:val="0"/>
        <w:snapToGrid w:val="0"/>
        <w:spacing w:line="480" w:lineRule="exact"/>
        <w:rPr>
          <w:rFonts w:hint="default" w:ascii="Times New Roman" w:hAnsi="Times New Roman" w:eastAsia="方正黑体_GBK" w:cs="Times New Roman"/>
          <w:sz w:val="32"/>
          <w:szCs w:val="32"/>
        </w:rPr>
      </w:pPr>
    </w:p>
    <w:p w14:paraId="42A900FC">
      <w:bookmarkStart w:id="0" w:name="_GoBack"/>
      <w:bookmarkEnd w:id="0"/>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10600010101010101"/>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16"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2E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C7AFA">
                          <w:pPr>
                            <w:pStyle w:val="3"/>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0C7AFA">
                    <w:pPr>
                      <w:pStyle w:val="3"/>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096E">
    <w:pPr>
      <w:pStyle w:val="3"/>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F67E8">
                          <w:pPr>
                            <w:pStyle w:val="3"/>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6F67E8">
                    <w:pPr>
                      <w:pStyle w:val="3"/>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mc:Fallback>
      </mc:AlternateContent>
    </w:r>
  </w:p>
  <w:p w14:paraId="60BE491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A2ZDAyNThjMTFkZTkwMmFlMzE4ODBlMzc2MmUifQ=="/>
  </w:docVars>
  <w:rsids>
    <w:rsidRoot w:val="6226203A"/>
    <w:rsid w:val="1C6E6C61"/>
    <w:rsid w:val="1EC9579B"/>
    <w:rsid w:val="1FFF98E5"/>
    <w:rsid w:val="23E72DA1"/>
    <w:rsid w:val="2C7EE526"/>
    <w:rsid w:val="3BFDEE78"/>
    <w:rsid w:val="3D644E02"/>
    <w:rsid w:val="3FFEDD90"/>
    <w:rsid w:val="447F3BC6"/>
    <w:rsid w:val="44CFB57D"/>
    <w:rsid w:val="5AF712E4"/>
    <w:rsid w:val="5FFE0187"/>
    <w:rsid w:val="6226203A"/>
    <w:rsid w:val="657E389F"/>
    <w:rsid w:val="6E7B2E75"/>
    <w:rsid w:val="75EB68E6"/>
    <w:rsid w:val="76377803"/>
    <w:rsid w:val="79EB37B0"/>
    <w:rsid w:val="7ABF1887"/>
    <w:rsid w:val="7AFF204C"/>
    <w:rsid w:val="7D980506"/>
    <w:rsid w:val="7DBBA904"/>
    <w:rsid w:val="7DF77BE5"/>
    <w:rsid w:val="7E7E26B9"/>
    <w:rsid w:val="7FBBC3C8"/>
    <w:rsid w:val="7FE5169F"/>
    <w:rsid w:val="7FEFB837"/>
    <w:rsid w:val="8ACFEE72"/>
    <w:rsid w:val="97553938"/>
    <w:rsid w:val="9EAE51E5"/>
    <w:rsid w:val="B7FF44CB"/>
    <w:rsid w:val="BDFD97DB"/>
    <w:rsid w:val="BFBF6962"/>
    <w:rsid w:val="BFF5A7E8"/>
    <w:rsid w:val="DEFF8E43"/>
    <w:rsid w:val="E6F7FF40"/>
    <w:rsid w:val="EDFDC79B"/>
    <w:rsid w:val="FCDE1177"/>
    <w:rsid w:val="FDFEE3B6"/>
    <w:rsid w:val="FF6716B7"/>
    <w:rsid w:val="FF764700"/>
    <w:rsid w:val="FFFD9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line="360" w:lineRule="auto"/>
    </w:pPr>
    <w:rPr>
      <w:rFonts w:ascii="Calibri" w:hAnsi="Calibri" w:eastAsia="黑体"/>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BodyText1I2"/>
    <w:basedOn w:val="10"/>
    <w:qFormat/>
    <w:uiPriority w:val="0"/>
    <w:pPr>
      <w:spacing w:after="120"/>
      <w:ind w:left="420" w:leftChars="200" w:firstLine="420" w:firstLineChars="200"/>
      <w:jc w:val="both"/>
      <w:textAlignment w:val="baseline"/>
    </w:pPr>
    <w:rPr>
      <w:rFonts w:ascii="Calibri" w:hAnsi="Calibri" w:eastAsia="宋体" w:cs="Times New Roman"/>
    </w:rPr>
  </w:style>
  <w:style w:type="paragraph" w:customStyle="1" w:styleId="10">
    <w:name w:val="BodyTextIndent"/>
    <w:basedOn w:val="1"/>
    <w:next w:val="11"/>
    <w:qFormat/>
    <w:uiPriority w:val="0"/>
    <w:pPr>
      <w:spacing w:after="120"/>
      <w:ind w:left="420" w:leftChars="200"/>
      <w:jc w:val="both"/>
      <w:textAlignment w:val="baseline"/>
    </w:pPr>
    <w:rPr>
      <w:rFonts w:ascii="Calibri" w:hAnsi="Calibri" w:eastAsia="宋体" w:cs="Times New Roman"/>
    </w:rPr>
  </w:style>
  <w:style w:type="paragraph" w:customStyle="1" w:styleId="11">
    <w:name w:val="NormalIndent"/>
    <w:basedOn w:val="1"/>
    <w:qFormat/>
    <w:uiPriority w:val="0"/>
    <w:pPr>
      <w:ind w:firstLine="420" w:firstLineChars="200"/>
      <w:jc w:val="both"/>
      <w:textAlignment w:val="baseline"/>
    </w:pPr>
    <w:rPr>
      <w:rFonts w:ascii="Calibri" w:hAnsi="Calibri" w:eastAsia="仿宋" w:cs="Times New Roman"/>
      <w:kern w:val="2"/>
      <w:sz w:val="32"/>
      <w:szCs w:val="24"/>
      <w:lang w:val="en-US" w:eastAsia="zh-CN" w:bidi="ar-SA"/>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2987</Words>
  <Characters>3215</Characters>
  <Lines>0</Lines>
  <Paragraphs>0</Paragraphs>
  <TotalTime>5</TotalTime>
  <ScaleCrop>false</ScaleCrop>
  <LinksUpToDate>false</LinksUpToDate>
  <CharactersWithSpaces>3688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2025-07-17T14:08:00Z</dcterms:created>
  <dc:creator>糖酥酥</dc:creator>
  <cp:lastModifiedBy>睿睿</cp:lastModifiedBy>
  <dcterms:modified xsi:type="dcterms:W3CDTF">2026-02-25T01:50:22Z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154ABEFB631845FD914C982DC712A8A9_13</vt:lpwstr>
  </property>
  <property fmtid="{D5CDD505-2E9C-101B-9397-08002B2CF9AE}" pid="4" name="KSOTemplateDocerSaveRecord">
    <vt:lpwstr>eyJoZGlkIjoiMjYwMzBjZTNjZjgzZDU3MzJkYzY3M2Y1ZjUyOGJlM2IiLCJ1c2VySWQiOiIyNjE4OTMzMDMifQ==</vt:lpwstr>
  </property>
</Properties>
</file>