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0480A3">
      <w:pPr>
        <w:pStyle w:val="2"/>
        <w:ind w:left="0" w:leftChars="0" w:firstLine="0" w:firstLineChars="0"/>
        <w:rPr>
          <w:rFonts w:hint="default" w:ascii="Times New Roman" w:hAnsi="Times New Roman" w:eastAsia="方正小标宋_GBK" w:cstheme="minorBidi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Times New Roman" w:hAnsi="Times New Roman" w:eastAsia="方正小标宋_GBK" w:cstheme="minorBidi"/>
          <w:kern w:val="2"/>
          <w:sz w:val="44"/>
          <w:szCs w:val="44"/>
          <w:highlight w:val="none"/>
          <w:lang w:val="en-US" w:eastAsia="zh-CN" w:bidi="ar-SA"/>
        </w:rPr>
        <w:t>附件2：</w:t>
      </w:r>
    </w:p>
    <w:p w14:paraId="51BBA0A2">
      <w:pPr>
        <w:adjustRightInd w:val="0"/>
        <w:snapToGrid w:val="0"/>
        <w:spacing w:line="560" w:lineRule="exact"/>
        <w:jc w:val="center"/>
        <w:rPr>
          <w:rFonts w:ascii="Times New Roman" w:hAnsi="Times New Roman" w:eastAsia="方正小标宋_GBK"/>
          <w:sz w:val="44"/>
          <w:szCs w:val="44"/>
          <w:highlight w:val="none"/>
        </w:rPr>
      </w:pPr>
      <w:r>
        <w:rPr>
          <w:rFonts w:ascii="Times New Roman" w:hAnsi="Times New Roman" w:eastAsia="方正小标宋_GBK"/>
          <w:sz w:val="44"/>
          <w:szCs w:val="44"/>
          <w:highlight w:val="none"/>
        </w:rPr>
        <w:t>政府专职消防员岗位适应性测试项目及标准</w:t>
      </w:r>
    </w:p>
    <w:p w14:paraId="610C371A">
      <w:pPr>
        <w:pStyle w:val="2"/>
        <w:ind w:left="0" w:leftChars="0" w:firstLine="0" w:firstLineChars="0"/>
        <w:rPr>
          <w:highlight w:val="none"/>
        </w:rPr>
      </w:pPr>
    </w:p>
    <w:tbl>
      <w:tblPr>
        <w:tblStyle w:val="6"/>
        <w:tblW w:w="95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4153"/>
        <w:gridCol w:w="985"/>
        <w:gridCol w:w="985"/>
        <w:gridCol w:w="985"/>
        <w:gridCol w:w="985"/>
      </w:tblGrid>
      <w:tr w14:paraId="67BB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  <w:jc w:val="center"/>
        </w:trPr>
        <w:tc>
          <w:tcPr>
            <w:tcW w:w="1450" w:type="dxa"/>
            <w:vMerge w:val="restart"/>
            <w:vAlign w:val="center"/>
          </w:tcPr>
          <w:p w14:paraId="3E96D44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项目</w:t>
            </w:r>
          </w:p>
        </w:tc>
        <w:tc>
          <w:tcPr>
            <w:tcW w:w="4153" w:type="dxa"/>
            <w:vMerge w:val="restart"/>
            <w:vAlign w:val="center"/>
          </w:tcPr>
          <w:p w14:paraId="4F61A73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测试办法</w:t>
            </w:r>
          </w:p>
        </w:tc>
        <w:tc>
          <w:tcPr>
            <w:tcW w:w="985" w:type="dxa"/>
            <w:vAlign w:val="center"/>
          </w:tcPr>
          <w:p w14:paraId="7905CF9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优秀</w:t>
            </w:r>
          </w:p>
        </w:tc>
        <w:tc>
          <w:tcPr>
            <w:tcW w:w="985" w:type="dxa"/>
            <w:vAlign w:val="center"/>
          </w:tcPr>
          <w:p w14:paraId="0B8C5E3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良好</w:t>
            </w:r>
          </w:p>
        </w:tc>
        <w:tc>
          <w:tcPr>
            <w:tcW w:w="985" w:type="dxa"/>
            <w:vAlign w:val="center"/>
          </w:tcPr>
          <w:p w14:paraId="60FB9CA5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中等</w:t>
            </w:r>
          </w:p>
        </w:tc>
        <w:tc>
          <w:tcPr>
            <w:tcW w:w="985" w:type="dxa"/>
            <w:vAlign w:val="center"/>
          </w:tcPr>
          <w:p w14:paraId="0647BA5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一般</w:t>
            </w:r>
          </w:p>
        </w:tc>
      </w:tr>
      <w:tr w14:paraId="7BAE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1450" w:type="dxa"/>
            <w:vMerge w:val="continue"/>
            <w:vAlign w:val="center"/>
          </w:tcPr>
          <w:p w14:paraId="3C289AD2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</w:p>
        </w:tc>
        <w:tc>
          <w:tcPr>
            <w:tcW w:w="4153" w:type="dxa"/>
            <w:vMerge w:val="continue"/>
            <w:vAlign w:val="center"/>
          </w:tcPr>
          <w:p w14:paraId="6E571F11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</w:p>
        </w:tc>
        <w:tc>
          <w:tcPr>
            <w:tcW w:w="985" w:type="dxa"/>
            <w:vAlign w:val="center"/>
          </w:tcPr>
          <w:p w14:paraId="22B8F53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  <w:highlight w:val="none"/>
              </w:rPr>
              <w:t>10分</w:t>
            </w:r>
          </w:p>
        </w:tc>
        <w:tc>
          <w:tcPr>
            <w:tcW w:w="985" w:type="dxa"/>
            <w:vAlign w:val="center"/>
          </w:tcPr>
          <w:p w14:paraId="1140AE5C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  <w:highlight w:val="none"/>
              </w:rPr>
              <w:t>7.5分</w:t>
            </w:r>
          </w:p>
        </w:tc>
        <w:tc>
          <w:tcPr>
            <w:tcW w:w="985" w:type="dxa"/>
            <w:vAlign w:val="center"/>
          </w:tcPr>
          <w:p w14:paraId="23CC6B6E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  <w:highlight w:val="none"/>
              </w:rPr>
              <w:t>5分</w:t>
            </w:r>
          </w:p>
        </w:tc>
        <w:tc>
          <w:tcPr>
            <w:tcW w:w="985" w:type="dxa"/>
            <w:vAlign w:val="center"/>
          </w:tcPr>
          <w:p w14:paraId="243D0396"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  <w:highlight w:val="none"/>
              </w:rPr>
            </w:pPr>
            <w:r>
              <w:rPr>
                <w:rFonts w:ascii="Times New Roman" w:hAnsi="Times New Roman" w:eastAsia="楷体_GB2312"/>
                <w:color w:val="000000"/>
                <w:spacing w:val="-23"/>
                <w:kern w:val="0"/>
                <w:szCs w:val="21"/>
                <w:highlight w:val="none"/>
              </w:rPr>
              <w:t>2.5分</w:t>
            </w:r>
          </w:p>
        </w:tc>
      </w:tr>
      <w:tr w14:paraId="18B64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50" w:type="dxa"/>
            <w:vAlign w:val="center"/>
          </w:tcPr>
          <w:p w14:paraId="31D09ED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负重登六楼</w:t>
            </w:r>
          </w:p>
        </w:tc>
        <w:tc>
          <w:tcPr>
            <w:tcW w:w="4153" w:type="dxa"/>
            <w:vAlign w:val="center"/>
          </w:tcPr>
          <w:p w14:paraId="6F86FA8B">
            <w:pPr>
              <w:adjustRightInd w:val="0"/>
              <w:snapToGrid w:val="0"/>
              <w:spacing w:line="280" w:lineRule="exact"/>
              <w:rPr>
                <w:rFonts w:ascii="Times New Roman" w:hAnsi="Times New Roman" w:eastAsia="方正仿宋_GBK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  <w:t>报考人员</w:t>
            </w: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佩戴消防头盔及消防安全腰带，手提两盘65毫米</w:t>
            </w: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  <w:lang w:eastAsia="zh-CN"/>
              </w:rPr>
              <w:t>口径</w:t>
            </w: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水带，从一楼楼梯口登至六楼楼梯口。记录时间。</w:t>
            </w:r>
          </w:p>
        </w:tc>
        <w:tc>
          <w:tcPr>
            <w:tcW w:w="985" w:type="dxa"/>
            <w:vAlign w:val="center"/>
          </w:tcPr>
          <w:p w14:paraId="77A03E6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1′15″</w:t>
            </w:r>
          </w:p>
        </w:tc>
        <w:tc>
          <w:tcPr>
            <w:tcW w:w="985" w:type="dxa"/>
            <w:vAlign w:val="center"/>
          </w:tcPr>
          <w:p w14:paraId="0B02E686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1′30″</w:t>
            </w:r>
          </w:p>
        </w:tc>
        <w:tc>
          <w:tcPr>
            <w:tcW w:w="985" w:type="dxa"/>
            <w:vAlign w:val="center"/>
          </w:tcPr>
          <w:p w14:paraId="0DB5C66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1′40″</w:t>
            </w:r>
          </w:p>
        </w:tc>
        <w:tc>
          <w:tcPr>
            <w:tcW w:w="985" w:type="dxa"/>
            <w:vAlign w:val="center"/>
          </w:tcPr>
          <w:p w14:paraId="7A75B333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1′50″</w:t>
            </w:r>
          </w:p>
        </w:tc>
      </w:tr>
      <w:tr w14:paraId="5B6C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450" w:type="dxa"/>
            <w:vAlign w:val="center"/>
          </w:tcPr>
          <w:p w14:paraId="4F73C8FB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原地攀登</w:t>
            </w:r>
          </w:p>
          <w:p w14:paraId="272F62A0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六米拉梯</w:t>
            </w:r>
          </w:p>
        </w:tc>
        <w:tc>
          <w:tcPr>
            <w:tcW w:w="4153" w:type="dxa"/>
            <w:vAlign w:val="center"/>
          </w:tcPr>
          <w:p w14:paraId="4135EC9A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  <w:t>报考人员穿着全套消防员防护装具，扣好安全绳，从原地逐级攀登架设在训练塔窗口的六米拉梯，并进入二楼平台。记录时间。</w:t>
            </w:r>
          </w:p>
        </w:tc>
        <w:tc>
          <w:tcPr>
            <w:tcW w:w="985" w:type="dxa"/>
            <w:vAlign w:val="center"/>
          </w:tcPr>
          <w:p w14:paraId="58130B6A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10″</w:t>
            </w:r>
          </w:p>
        </w:tc>
        <w:tc>
          <w:tcPr>
            <w:tcW w:w="985" w:type="dxa"/>
            <w:vAlign w:val="center"/>
          </w:tcPr>
          <w:p w14:paraId="26E0DA7C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15″</w:t>
            </w:r>
          </w:p>
        </w:tc>
        <w:tc>
          <w:tcPr>
            <w:tcW w:w="985" w:type="dxa"/>
            <w:vAlign w:val="center"/>
          </w:tcPr>
          <w:p w14:paraId="77BFCD8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20″</w:t>
            </w:r>
          </w:p>
        </w:tc>
        <w:tc>
          <w:tcPr>
            <w:tcW w:w="985" w:type="dxa"/>
            <w:vAlign w:val="center"/>
          </w:tcPr>
          <w:p w14:paraId="16265F78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25″</w:t>
            </w:r>
          </w:p>
        </w:tc>
      </w:tr>
      <w:tr w14:paraId="13C61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  <w:jc w:val="center"/>
        </w:trPr>
        <w:tc>
          <w:tcPr>
            <w:tcW w:w="1450" w:type="dxa"/>
            <w:vAlign w:val="center"/>
          </w:tcPr>
          <w:p w14:paraId="62A94764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黑暗环境</w:t>
            </w:r>
          </w:p>
          <w:p w14:paraId="6CA00D0F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搜寻</w:t>
            </w:r>
          </w:p>
        </w:tc>
        <w:tc>
          <w:tcPr>
            <w:tcW w:w="4153" w:type="dxa"/>
            <w:vAlign w:val="center"/>
          </w:tcPr>
          <w:p w14:paraId="1B45A4FC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  <w:t>报考人员穿着全套消防员防护装具，从长度为20米的封闭式L型通道一侧进入，以双手双膝匍匐前进的姿势从L型通道另一侧穿出。记录时间。</w:t>
            </w:r>
          </w:p>
        </w:tc>
        <w:tc>
          <w:tcPr>
            <w:tcW w:w="985" w:type="dxa"/>
            <w:vAlign w:val="center"/>
          </w:tcPr>
          <w:p w14:paraId="04483E23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38″</w:t>
            </w:r>
          </w:p>
        </w:tc>
        <w:tc>
          <w:tcPr>
            <w:tcW w:w="985" w:type="dxa"/>
            <w:vAlign w:val="center"/>
          </w:tcPr>
          <w:p w14:paraId="50EC0D80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40″</w:t>
            </w:r>
          </w:p>
        </w:tc>
        <w:tc>
          <w:tcPr>
            <w:tcW w:w="985" w:type="dxa"/>
            <w:vAlign w:val="center"/>
          </w:tcPr>
          <w:p w14:paraId="48291780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42″</w:t>
            </w:r>
          </w:p>
        </w:tc>
        <w:tc>
          <w:tcPr>
            <w:tcW w:w="985" w:type="dxa"/>
            <w:vAlign w:val="center"/>
          </w:tcPr>
          <w:p w14:paraId="5E61FE04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45″</w:t>
            </w:r>
          </w:p>
        </w:tc>
      </w:tr>
      <w:tr w14:paraId="46072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1450" w:type="dxa"/>
            <w:vAlign w:val="center"/>
          </w:tcPr>
          <w:p w14:paraId="71E0C01D"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拖拽</w:t>
            </w:r>
          </w:p>
        </w:tc>
        <w:tc>
          <w:tcPr>
            <w:tcW w:w="4153" w:type="dxa"/>
            <w:vAlign w:val="center"/>
          </w:tcPr>
          <w:p w14:paraId="6C039010">
            <w:pPr>
              <w:adjustRightInd w:val="0"/>
              <w:snapToGrid w:val="0"/>
              <w:spacing w:line="280" w:lineRule="exact"/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hint="eastAsia" w:ascii="Times New Roman" w:hAnsi="Times New Roman" w:eastAsia="黑体"/>
                <w:color w:val="000000"/>
                <w:sz w:val="24"/>
                <w:highlight w:val="none"/>
              </w:rPr>
              <w:t>报考人员佩戴消防头盔及消防安全腰带，将60公斤重的假人从起点线拖拽至距离起点线10米处的终点线（假人整体越过终点线）。记录时间。</w:t>
            </w:r>
          </w:p>
        </w:tc>
        <w:tc>
          <w:tcPr>
            <w:tcW w:w="985" w:type="dxa"/>
            <w:vAlign w:val="center"/>
          </w:tcPr>
          <w:p w14:paraId="52D4AAAD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12″</w:t>
            </w:r>
          </w:p>
        </w:tc>
        <w:tc>
          <w:tcPr>
            <w:tcW w:w="985" w:type="dxa"/>
            <w:vAlign w:val="center"/>
          </w:tcPr>
          <w:p w14:paraId="26D70CB9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13″</w:t>
            </w:r>
          </w:p>
        </w:tc>
        <w:tc>
          <w:tcPr>
            <w:tcW w:w="985" w:type="dxa"/>
            <w:vAlign w:val="center"/>
          </w:tcPr>
          <w:p w14:paraId="3E638D6E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14″</w:t>
            </w:r>
          </w:p>
        </w:tc>
        <w:tc>
          <w:tcPr>
            <w:tcW w:w="985" w:type="dxa"/>
            <w:vAlign w:val="center"/>
          </w:tcPr>
          <w:p w14:paraId="31BB6FD0"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4"/>
                <w:highlight w:val="none"/>
              </w:rPr>
              <w:t>15″</w:t>
            </w:r>
          </w:p>
        </w:tc>
      </w:tr>
      <w:tr w14:paraId="7BA85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450" w:type="dxa"/>
            <w:vAlign w:val="center"/>
          </w:tcPr>
          <w:p w14:paraId="7AC92BA8">
            <w:pPr>
              <w:contextualSpacing/>
              <w:jc w:val="center"/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highlight w:val="none"/>
              </w:rPr>
              <w:t>备注</w:t>
            </w:r>
          </w:p>
        </w:tc>
        <w:tc>
          <w:tcPr>
            <w:tcW w:w="8093" w:type="dxa"/>
            <w:gridSpan w:val="5"/>
            <w:vAlign w:val="center"/>
          </w:tcPr>
          <w:p w14:paraId="096B5F9C"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ascii="Times New Roman" w:hAnsi="Times New Roman" w:eastAsia="方正仿宋_GBK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highlight w:val="none"/>
              </w:rPr>
              <w:t>1.单项测试成绩达到一般、中等、良好、优秀等次的，分别计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highlight w:val="none"/>
                <w:lang w:val="en-US" w:eastAsia="zh-CN"/>
              </w:rPr>
              <w:t>2.5</w:t>
            </w:r>
            <w:r>
              <w:rPr>
                <w:rFonts w:ascii="Times New Roman" w:hAnsi="Times New Roman" w:eastAsia="方正仿宋_GBK"/>
                <w:color w:val="000000"/>
                <w:sz w:val="24"/>
                <w:highlight w:val="none"/>
              </w:rPr>
              <w:t>分、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ascii="Times New Roman" w:hAnsi="Times New Roman" w:eastAsia="方正仿宋_GBK"/>
                <w:color w:val="000000"/>
                <w:sz w:val="24"/>
                <w:highlight w:val="none"/>
              </w:rPr>
              <w:t>分、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highlight w:val="none"/>
                <w:lang w:val="en-US" w:eastAsia="zh-CN"/>
              </w:rPr>
              <w:t>7.5</w:t>
            </w:r>
            <w:r>
              <w:rPr>
                <w:rFonts w:ascii="Times New Roman" w:hAnsi="Times New Roman" w:eastAsia="方正仿宋_GBK"/>
                <w:color w:val="000000"/>
                <w:sz w:val="24"/>
                <w:highlight w:val="none"/>
              </w:rPr>
              <w:t>分、</w:t>
            </w:r>
            <w:r>
              <w:rPr>
                <w:rFonts w:hint="eastAsia" w:ascii="Times New Roman" w:hAnsi="Times New Roman" w:eastAsia="方正仿宋_GBK"/>
                <w:color w:val="000000"/>
                <w:sz w:val="24"/>
                <w:highlight w:val="none"/>
                <w:lang w:val="en-US" w:eastAsia="zh-CN"/>
              </w:rPr>
              <w:t>10</w:t>
            </w:r>
            <w:r>
              <w:rPr>
                <w:rFonts w:ascii="Times New Roman" w:hAnsi="Times New Roman" w:eastAsia="方正仿宋_GBK"/>
                <w:color w:val="000000"/>
                <w:sz w:val="24"/>
                <w:highlight w:val="none"/>
              </w:rPr>
              <w:t>分，总成绩最高40分，单项测试成绩未达到一般等次的不予计分。</w:t>
            </w:r>
          </w:p>
          <w:p w14:paraId="59112ADB"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rPr>
                <w:rFonts w:ascii="Times New Roman" w:hAnsi="Times New Roman" w:eastAsia="方正仿宋_GBK"/>
                <w:color w:val="000000"/>
                <w:sz w:val="24"/>
                <w:highlight w:val="none"/>
              </w:rPr>
            </w:pPr>
            <w:r>
              <w:rPr>
                <w:rFonts w:ascii="Times New Roman" w:hAnsi="Times New Roman" w:eastAsia="方正仿宋_GBK"/>
                <w:color w:val="000000"/>
                <w:sz w:val="24"/>
                <w:highlight w:val="none"/>
              </w:rPr>
              <w:t>2.高原地区应在海拔4000米以下集中组织适应性测试，海拔2000-3000米，每增加100米高度标准递增3秒，3100-4000米，每增加100米高度标准递增4秒。</w:t>
            </w:r>
          </w:p>
        </w:tc>
      </w:tr>
    </w:tbl>
    <w:p w14:paraId="33316E1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B12F4"/>
    <w:rsid w:val="2AA84EFB"/>
    <w:rsid w:val="3ADF4142"/>
    <w:rsid w:val="5643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 w:firstLineChars="200"/>
    </w:pPr>
  </w:style>
  <w:style w:type="paragraph" w:customStyle="1" w:styleId="3">
    <w:name w:val="BodyTextIndent"/>
    <w:basedOn w:val="1"/>
    <w:next w:val="4"/>
    <w:qFormat/>
    <w:uiPriority w:val="0"/>
    <w:pPr>
      <w:spacing w:after="120"/>
      <w:ind w:left="420" w:leftChars="200"/>
      <w:textAlignment w:val="baseline"/>
    </w:pPr>
    <w:rPr>
      <w:rFonts w:ascii="Calibri" w:hAnsi="Calibri" w:eastAsia="宋体" w:cs="Times New Roman"/>
    </w:rPr>
  </w:style>
  <w:style w:type="paragraph" w:customStyle="1" w:styleId="4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 w:cs="Times New Roman"/>
      <w:sz w:val="32"/>
    </w:rPr>
  </w:style>
  <w:style w:type="paragraph" w:styleId="5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439</Words>
  <Characters>519</Characters>
  <Lines>0</Lines>
  <Paragraphs>0</Paragraphs>
  <TotalTime>3</TotalTime>
  <ScaleCrop>false</ScaleCrop>
  <LinksUpToDate>false</LinksUpToDate>
  <CharactersWithSpaces>519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李李李李李</cp:lastModifiedBy>
  <dcterms:modified xsi:type="dcterms:W3CDTF">2025-12-22T06:24:47Z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1FFF59B91DE14C78B39F997FD696959D</vt:lpwstr>
  </property>
  <property fmtid="{D5CDD505-2E9C-101B-9397-08002B2CF9AE}" pid="4" name="KSOTemplateDocerSaveRecord">
    <vt:lpwstr>eyJoZGlkIjoiNWFjZGNmN2M5MGVkZDFjMzY3NjkyZmI5MzEyMmRkNTEiLCJ1c2VySWQiOiIyOTYyOTcwNTYifQ==</vt:lpwstr>
  </property>
</Properties>
</file>